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90" w:rsidRDefault="008A2590" w:rsidP="00D56B6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PRIEDAS NR.  </w:t>
      </w:r>
      <w:r w:rsidR="00960C40">
        <w:rPr>
          <w:b/>
        </w:rPr>
        <w:t>4</w:t>
      </w: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BD4A2F">
      <w:pPr>
        <w:jc w:val="center"/>
      </w:pPr>
      <w:r>
        <w:rPr>
          <w:sz w:val="28"/>
          <w:szCs w:val="28"/>
        </w:rPr>
        <w:t>Akmenės rajono savivaldybės pedagoginė psichologinė tarnyba</w:t>
      </w: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Pr="00C47EBF" w:rsidRDefault="008A2590" w:rsidP="00BD4A2F">
      <w:pPr>
        <w:jc w:val="center"/>
        <w:rPr>
          <w:b/>
          <w:sz w:val="36"/>
          <w:szCs w:val="36"/>
        </w:rPr>
      </w:pPr>
      <w:r w:rsidRPr="00C47EBF">
        <w:rPr>
          <w:b/>
          <w:sz w:val="36"/>
          <w:szCs w:val="36"/>
        </w:rPr>
        <w:t>PSICHOLOGO</w:t>
      </w:r>
    </w:p>
    <w:p w:rsidR="008A2590" w:rsidRPr="00C47EBF" w:rsidRDefault="008A2590" w:rsidP="00D56B65">
      <w:pPr>
        <w:jc w:val="both"/>
        <w:rPr>
          <w:b/>
        </w:rPr>
      </w:pPr>
    </w:p>
    <w:p w:rsidR="008A2590" w:rsidRDefault="00BD4A2F" w:rsidP="00BD4A2F">
      <w:pPr>
        <w:jc w:val="center"/>
      </w:pPr>
      <w:r>
        <w:rPr>
          <w:b/>
          <w:sz w:val="36"/>
          <w:szCs w:val="36"/>
        </w:rPr>
        <w:t>2024</w:t>
      </w:r>
      <w:r w:rsidR="008A2590" w:rsidRPr="00C47EBF">
        <w:rPr>
          <w:b/>
          <w:sz w:val="36"/>
          <w:szCs w:val="36"/>
        </w:rPr>
        <w:t xml:space="preserve"> METŲ VEIKLOS PROGRAMA</w:t>
      </w: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8A2590" w:rsidP="00D56B65">
      <w:pPr>
        <w:jc w:val="both"/>
      </w:pPr>
    </w:p>
    <w:p w:rsidR="008A2590" w:rsidRDefault="00BD4A2F" w:rsidP="00BD4A2F">
      <w:pPr>
        <w:jc w:val="center"/>
      </w:pPr>
      <w:r>
        <w:t>2024</w:t>
      </w:r>
      <w:r w:rsidR="008A2590">
        <w:t xml:space="preserve"> m.</w:t>
      </w:r>
    </w:p>
    <w:p w:rsidR="00C47EBF" w:rsidRDefault="00C47EBF" w:rsidP="00D56B65">
      <w:pPr>
        <w:jc w:val="both"/>
      </w:pPr>
    </w:p>
    <w:p w:rsidR="00C47EBF" w:rsidRDefault="00C47EBF" w:rsidP="00D56B65">
      <w:pPr>
        <w:jc w:val="both"/>
      </w:pPr>
    </w:p>
    <w:p w:rsidR="00C47EBF" w:rsidRDefault="00C47EBF" w:rsidP="00D56B65">
      <w:pPr>
        <w:jc w:val="both"/>
      </w:pPr>
    </w:p>
    <w:p w:rsidR="00C47EBF" w:rsidRDefault="00C47EBF" w:rsidP="00D56B65">
      <w:pPr>
        <w:jc w:val="both"/>
      </w:pPr>
    </w:p>
    <w:p w:rsidR="00C47EBF" w:rsidRDefault="00C47EBF" w:rsidP="00D56B65">
      <w:pPr>
        <w:jc w:val="both"/>
      </w:pPr>
    </w:p>
    <w:p w:rsidR="00C47EBF" w:rsidRDefault="00C47EBF" w:rsidP="00D56B65">
      <w:pPr>
        <w:jc w:val="both"/>
      </w:pPr>
    </w:p>
    <w:p w:rsidR="00C47EBF" w:rsidRDefault="00C47EBF" w:rsidP="00D56B65">
      <w:pPr>
        <w:jc w:val="both"/>
      </w:pPr>
    </w:p>
    <w:p w:rsidR="00C47EBF" w:rsidRPr="00C47EBF" w:rsidRDefault="00C47EBF" w:rsidP="00D56B65">
      <w:pPr>
        <w:suppressAutoHyphens w:val="0"/>
        <w:jc w:val="both"/>
        <w:rPr>
          <w:b/>
          <w:sz w:val="28"/>
          <w:szCs w:val="28"/>
          <w:lang w:eastAsia="lt-LT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693"/>
        <w:gridCol w:w="1560"/>
        <w:gridCol w:w="3260"/>
        <w:gridCol w:w="2268"/>
      </w:tblGrid>
      <w:tr w:rsidR="00C47EBF" w:rsidRPr="00C47EBF" w:rsidTr="005F578F">
        <w:tc>
          <w:tcPr>
            <w:tcW w:w="5353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b/>
                <w:sz w:val="22"/>
                <w:szCs w:val="22"/>
                <w:lang w:eastAsia="lt-LT"/>
              </w:rPr>
              <w:lastRenderedPageBreak/>
              <w:t>Priemonės</w:t>
            </w:r>
          </w:p>
        </w:tc>
        <w:tc>
          <w:tcPr>
            <w:tcW w:w="2693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b/>
                <w:sz w:val="22"/>
                <w:szCs w:val="22"/>
                <w:lang w:eastAsia="lt-LT"/>
              </w:rPr>
              <w:t>Laikas, terminai</w:t>
            </w:r>
          </w:p>
        </w:tc>
        <w:tc>
          <w:tcPr>
            <w:tcW w:w="1560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b/>
                <w:sz w:val="22"/>
                <w:szCs w:val="22"/>
                <w:lang w:eastAsia="lt-LT"/>
              </w:rPr>
              <w:t>Atsakingas vykdytojas, partneriai</w:t>
            </w:r>
          </w:p>
        </w:tc>
        <w:tc>
          <w:tcPr>
            <w:tcW w:w="3260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b/>
                <w:sz w:val="22"/>
                <w:szCs w:val="22"/>
                <w:lang w:eastAsia="lt-LT"/>
              </w:rPr>
              <w:t>Rezultatas, sėkmės kriterijus</w:t>
            </w:r>
          </w:p>
        </w:tc>
        <w:tc>
          <w:tcPr>
            <w:tcW w:w="2268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b/>
                <w:sz w:val="22"/>
                <w:szCs w:val="22"/>
                <w:lang w:eastAsia="lt-LT"/>
              </w:rPr>
              <w:t>Atsiskaitymo forma; šaltiniai, kur bus informacija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000499" w:rsidRDefault="00000499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  <w:r w:rsidR="00972437" w:rsidRPr="00000499">
              <w:rPr>
                <w:sz w:val="22"/>
                <w:szCs w:val="22"/>
                <w:lang w:eastAsia="lt-LT"/>
              </w:rPr>
              <w:t>Individualios švietimo pagalbos mokiniams (vaikams) teikimas tarnyboje.</w:t>
            </w:r>
          </w:p>
        </w:tc>
        <w:tc>
          <w:tcPr>
            <w:tcW w:w="2693" w:type="dxa"/>
          </w:tcPr>
          <w:p w:rsidR="00C47EBF" w:rsidRPr="00C47EBF" w:rsidRDefault="00000499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Nuolat, pagal tėvų prašymus</w:t>
            </w:r>
          </w:p>
        </w:tc>
        <w:tc>
          <w:tcPr>
            <w:tcW w:w="1560" w:type="dxa"/>
          </w:tcPr>
          <w:p w:rsidR="00C47EBF" w:rsidRPr="00C47EBF" w:rsidRDefault="00000499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Rima Mokusienė</w:t>
            </w:r>
          </w:p>
        </w:tc>
        <w:tc>
          <w:tcPr>
            <w:tcW w:w="3260" w:type="dxa"/>
          </w:tcPr>
          <w:p w:rsidR="00C47EBF" w:rsidRPr="00C47EBF" w:rsidRDefault="004C2DFE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4C2DFE">
              <w:rPr>
                <w:sz w:val="22"/>
                <w:szCs w:val="22"/>
                <w:lang w:eastAsia="lt-LT"/>
              </w:rPr>
              <w:t>Gerės mokymosi sunkumų turinčių vaikų ugdymosi kokybė, gerės jų elgesys</w:t>
            </w:r>
          </w:p>
        </w:tc>
        <w:tc>
          <w:tcPr>
            <w:tcW w:w="2268" w:type="dxa"/>
          </w:tcPr>
          <w:p w:rsidR="00C47EBF" w:rsidRPr="00C47EBF" w:rsidRDefault="00000499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Teikiamos </w:t>
            </w:r>
            <w:r w:rsidRPr="00C47EBF">
              <w:rPr>
                <w:sz w:val="22"/>
                <w:szCs w:val="22"/>
                <w:lang w:eastAsia="lt-LT"/>
              </w:rPr>
              <w:t>rekomendacijos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000499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 </w:t>
            </w:r>
            <w:r w:rsidR="004C2DFE" w:rsidRPr="004C2DFE">
              <w:rPr>
                <w:sz w:val="22"/>
                <w:szCs w:val="22"/>
                <w:lang w:eastAsia="lt-LT"/>
              </w:rPr>
              <w:t xml:space="preserve">Individualus mokinių tėvų (globėjų), kitų bendruomenės </w:t>
            </w:r>
            <w:r w:rsidR="004C2DFE">
              <w:rPr>
                <w:sz w:val="22"/>
                <w:szCs w:val="22"/>
                <w:lang w:eastAsia="lt-LT"/>
              </w:rPr>
              <w:t>narių konsultavimas, švietimas. Pagalba Ukrainiečiams</w:t>
            </w:r>
            <w:r w:rsidR="00D56B65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693" w:type="dxa"/>
          </w:tcPr>
          <w:p w:rsidR="00C47EBF" w:rsidRPr="00C47EBF" w:rsidRDefault="004C2DFE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Nuolat</w:t>
            </w:r>
          </w:p>
        </w:tc>
        <w:tc>
          <w:tcPr>
            <w:tcW w:w="1560" w:type="dxa"/>
          </w:tcPr>
          <w:p w:rsidR="00C47EBF" w:rsidRPr="00C47EBF" w:rsidRDefault="004C2DFE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Rima Mokusienė</w:t>
            </w:r>
          </w:p>
        </w:tc>
        <w:tc>
          <w:tcPr>
            <w:tcW w:w="3260" w:type="dxa"/>
          </w:tcPr>
          <w:p w:rsidR="00C47EBF" w:rsidRPr="00C47EBF" w:rsidRDefault="004C2DFE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Užsakovai gaus specifinių žinių, kurias taikydami praktikoje keis savo nuostatas, tikėtina, kad gerės jų savijauta ir bendravimas.</w:t>
            </w:r>
          </w:p>
        </w:tc>
        <w:tc>
          <w:tcPr>
            <w:tcW w:w="2268" w:type="dxa"/>
          </w:tcPr>
          <w:p w:rsidR="00C47EBF" w:rsidRPr="00C47EBF" w:rsidRDefault="004C2DFE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Teikiamos rekomendacijos/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3. Ugdymo formų, būdų ir metodų </w:t>
            </w:r>
            <w:r w:rsidRPr="00C47EBF">
              <w:rPr>
                <w:b/>
                <w:sz w:val="22"/>
                <w:szCs w:val="22"/>
                <w:lang w:eastAsia="lt-LT"/>
              </w:rPr>
              <w:t>siūlymas</w:t>
            </w:r>
            <w:r w:rsidRPr="00C47EBF">
              <w:rPr>
                <w:sz w:val="22"/>
                <w:szCs w:val="22"/>
                <w:lang w:eastAsia="lt-LT"/>
              </w:rPr>
              <w:t xml:space="preserve">, prireikus, </w:t>
            </w:r>
            <w:r w:rsidRPr="00C47EBF">
              <w:rPr>
                <w:b/>
                <w:sz w:val="22"/>
                <w:szCs w:val="22"/>
                <w:lang w:eastAsia="lt-LT"/>
              </w:rPr>
              <w:t>rekomendavimas</w:t>
            </w:r>
            <w:r w:rsidRPr="00C47EBF">
              <w:rPr>
                <w:sz w:val="22"/>
                <w:szCs w:val="22"/>
                <w:lang w:eastAsia="lt-LT"/>
              </w:rPr>
              <w:t xml:space="preserve"> teikti psichologinę pagalbą</w:t>
            </w:r>
          </w:p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Nuolat, pagal tėvų ir mokyklų VGK užsakymus</w:t>
            </w:r>
          </w:p>
        </w:tc>
        <w:tc>
          <w:tcPr>
            <w:tcW w:w="1560" w:type="dxa"/>
          </w:tcPr>
          <w:p w:rsidR="00C47EBF" w:rsidRPr="00C47EBF" w:rsidRDefault="00000499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Rima  Mokusienė</w:t>
            </w:r>
          </w:p>
        </w:tc>
        <w:tc>
          <w:tcPr>
            <w:tcW w:w="3260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Gerės mokymosi sunkumų turinčių vaikų ugdymosi kokybė, gerės jų elgesys</w:t>
            </w:r>
          </w:p>
        </w:tc>
        <w:tc>
          <w:tcPr>
            <w:tcW w:w="2268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Išvados, tėvams ir mokyklai teiktos rekomendacijos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4. Specialiųjų ugdymosi poreikių, psichologinių, asmenybės ir ugdymosi problemų turinčių mokinių (vaikų), jų tėvų, mokytojų, pagalbos mokiniui specialistų </w:t>
            </w:r>
            <w:r w:rsidRPr="00C47EBF">
              <w:rPr>
                <w:b/>
                <w:sz w:val="22"/>
                <w:szCs w:val="22"/>
                <w:lang w:eastAsia="lt-LT"/>
              </w:rPr>
              <w:t>individualus konsultavimas</w:t>
            </w:r>
            <w:r w:rsidRPr="00C47EBF">
              <w:rPr>
                <w:sz w:val="22"/>
                <w:szCs w:val="22"/>
                <w:lang w:eastAsia="lt-LT"/>
              </w:rPr>
              <w:t xml:space="preserve"> specialiosios pedagoginės pagalbos, ugdymo organizavimo, psichologinių, asmenybės ir ugdymosi problemų prevencijos bei jų sprendimo klausimais, mokinius – jų polinkių ir gabumų klausimais</w:t>
            </w:r>
          </w:p>
        </w:tc>
        <w:tc>
          <w:tcPr>
            <w:tcW w:w="2693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Tėvų ar vaikų, mokytojų prašymu</w:t>
            </w:r>
          </w:p>
        </w:tc>
        <w:tc>
          <w:tcPr>
            <w:tcW w:w="1560" w:type="dxa"/>
          </w:tcPr>
          <w:p w:rsidR="00C47EBF" w:rsidRPr="00C47EBF" w:rsidRDefault="00000499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Rima Mokusienė</w:t>
            </w:r>
          </w:p>
        </w:tc>
        <w:tc>
          <w:tcPr>
            <w:tcW w:w="3260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Pozityviai keisis vaikų elges</w:t>
            </w:r>
            <w:r w:rsidR="00F659F9">
              <w:rPr>
                <w:sz w:val="22"/>
                <w:szCs w:val="22"/>
                <w:lang w:eastAsia="lt-LT"/>
              </w:rPr>
              <w:t>ys, emocinė sveikata, vaikų ugdy</w:t>
            </w:r>
            <w:r w:rsidRPr="00C47EBF">
              <w:rPr>
                <w:sz w:val="22"/>
                <w:szCs w:val="22"/>
                <w:lang w:eastAsia="lt-LT"/>
              </w:rPr>
              <w:t xml:space="preserve">mosi kokybė, pasitikėjimas savimi tėvai, mokytojai gaus specifinių žinių vaikų ugdymo bei auklėjimo klausimais, keisis jų elgesys vaiko atžvilgiu, bus išvengta kai kurių problemų </w:t>
            </w:r>
          </w:p>
        </w:tc>
        <w:tc>
          <w:tcPr>
            <w:tcW w:w="2268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Registracijos knygos, klientų kortelės, ataskaitos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5. Specialiųjų ugdymosi poreikių, psichologinių, asmenybės ir ugdymosi problemų turinčių mokinių (vaikų) </w:t>
            </w:r>
            <w:r w:rsidRPr="00C47EBF">
              <w:rPr>
                <w:b/>
                <w:sz w:val="22"/>
                <w:szCs w:val="22"/>
                <w:lang w:eastAsia="lt-LT"/>
              </w:rPr>
              <w:t>grupinis konsultavimas</w:t>
            </w:r>
            <w:r w:rsidRPr="00C47EBF">
              <w:rPr>
                <w:sz w:val="22"/>
                <w:szCs w:val="22"/>
                <w:lang w:eastAsia="lt-LT"/>
              </w:rPr>
              <w:t xml:space="preserve"> psichologinių, asmenybės problemų klausimais.</w:t>
            </w:r>
          </w:p>
          <w:p w:rsidR="00DF2684" w:rsidRPr="00C47EBF" w:rsidRDefault="00DF2684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5.1. </w:t>
            </w:r>
            <w:r w:rsidRPr="00DF2684">
              <w:rPr>
                <w:sz w:val="22"/>
                <w:szCs w:val="22"/>
                <w:lang w:eastAsia="lt-LT"/>
              </w:rPr>
              <w:t xml:space="preserve">Grupinių užsiėmimų su ugdymosi problemų turinčiais vaikais vedimas Akmenės gimnazijoje. (5 grupės po 4 </w:t>
            </w:r>
            <w:proofErr w:type="spellStart"/>
            <w:r w:rsidRPr="00DF2684">
              <w:rPr>
                <w:sz w:val="22"/>
                <w:szCs w:val="22"/>
                <w:lang w:eastAsia="lt-LT"/>
              </w:rPr>
              <w:t>užsiėmimus</w:t>
            </w:r>
            <w:proofErr w:type="spellEnd"/>
            <w:r w:rsidRPr="00DF2684">
              <w:rPr>
                <w:sz w:val="22"/>
                <w:szCs w:val="22"/>
                <w:lang w:eastAsia="lt-LT"/>
              </w:rPr>
              <w:t>)</w:t>
            </w:r>
          </w:p>
        </w:tc>
        <w:tc>
          <w:tcPr>
            <w:tcW w:w="2693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Tėvų ar vaikų, mokytojų prašymu</w:t>
            </w:r>
          </w:p>
        </w:tc>
        <w:tc>
          <w:tcPr>
            <w:tcW w:w="1560" w:type="dxa"/>
          </w:tcPr>
          <w:p w:rsidR="00C47EBF" w:rsidRPr="00C47EBF" w:rsidRDefault="00000499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Rima Mokusienė</w:t>
            </w:r>
          </w:p>
        </w:tc>
        <w:tc>
          <w:tcPr>
            <w:tcW w:w="3260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Pozityviai keisis vaikų elgesys, emocinė sveikata, didės pasitikėjimas savimi, keisis jų bendravimas su suaugusiais</w:t>
            </w:r>
          </w:p>
        </w:tc>
        <w:tc>
          <w:tcPr>
            <w:tcW w:w="2268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Registracijos knygos, lankomumo žurnalas, ataskaitos</w:t>
            </w:r>
          </w:p>
        </w:tc>
      </w:tr>
      <w:tr w:rsidR="00C47EBF" w:rsidRPr="00C47EBF" w:rsidTr="00DC2C23">
        <w:trPr>
          <w:trHeight w:val="841"/>
        </w:trPr>
        <w:tc>
          <w:tcPr>
            <w:tcW w:w="5353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6. </w:t>
            </w:r>
            <w:r w:rsidRPr="00C47EBF">
              <w:rPr>
                <w:b/>
                <w:sz w:val="22"/>
                <w:szCs w:val="22"/>
                <w:lang w:eastAsia="lt-LT"/>
              </w:rPr>
              <w:t>Metodinės pagalbos</w:t>
            </w:r>
            <w:r w:rsidRPr="00C47EBF">
              <w:rPr>
                <w:sz w:val="22"/>
                <w:szCs w:val="22"/>
                <w:lang w:eastAsia="lt-LT"/>
              </w:rPr>
              <w:t xml:space="preserve"> tėvams, mokytojams, specialistams mokinio (vaiko) pažinimo, psichologinių, asmenybės ir ugdymosi problemų turinčių mokinių ugdymo, įvairių psichologinių, asmenybės ir ugdymosi problemų klausimais naudojant įvairius metodus bei būdus, teikimas:</w:t>
            </w:r>
          </w:p>
          <w:p w:rsidR="007F57F2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6.1.</w:t>
            </w:r>
            <w:r w:rsidR="007F57F2">
              <w:rPr>
                <w:sz w:val="22"/>
                <w:szCs w:val="22"/>
                <w:lang w:eastAsia="lt-LT"/>
              </w:rPr>
              <w:t xml:space="preserve"> Ikimokyklinio ugdy</w:t>
            </w:r>
            <w:r w:rsidR="00B32716">
              <w:rPr>
                <w:sz w:val="22"/>
                <w:szCs w:val="22"/>
                <w:lang w:eastAsia="lt-LT"/>
              </w:rPr>
              <w:t>mo įstaigose p</w:t>
            </w:r>
            <w:r w:rsidR="007F57F2">
              <w:rPr>
                <w:sz w:val="22"/>
                <w:szCs w:val="22"/>
                <w:lang w:eastAsia="lt-LT"/>
              </w:rPr>
              <w:t>askaitų ciklas tėvams. „Vaikų raidos tikslai ir uždaviniai“</w:t>
            </w:r>
          </w:p>
          <w:p w:rsidR="00C47EBF" w:rsidRPr="00C47EBF" w:rsidRDefault="007F57F2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6.2. </w:t>
            </w:r>
            <w:r w:rsidR="00C47EBF" w:rsidRPr="00C47EBF">
              <w:rPr>
                <w:sz w:val="22"/>
                <w:szCs w:val="22"/>
                <w:lang w:eastAsia="lt-LT"/>
              </w:rPr>
              <w:t xml:space="preserve"> Šviečiamosios paskaitos tėvams, mokytojams, specialistams pagal temos poreikį.</w:t>
            </w:r>
          </w:p>
          <w:p w:rsidR="00972437" w:rsidRDefault="007F57F2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6.3. </w:t>
            </w:r>
            <w:r w:rsidR="00000499">
              <w:rPr>
                <w:sz w:val="22"/>
                <w:szCs w:val="22"/>
                <w:lang w:eastAsia="lt-LT"/>
              </w:rPr>
              <w:t xml:space="preserve"> </w:t>
            </w:r>
            <w:r w:rsidR="0008779F" w:rsidRPr="0008779F">
              <w:rPr>
                <w:sz w:val="22"/>
                <w:szCs w:val="22"/>
                <w:lang w:eastAsia="lt-LT"/>
              </w:rPr>
              <w:t>Dalyvavimas dalykinėse konferencijose, pranešimų skaitym</w:t>
            </w:r>
            <w:r w:rsidR="0008779F">
              <w:rPr>
                <w:sz w:val="22"/>
                <w:szCs w:val="22"/>
                <w:lang w:eastAsia="lt-LT"/>
              </w:rPr>
              <w:t>as.</w:t>
            </w:r>
          </w:p>
          <w:p w:rsidR="00B32716" w:rsidRPr="00C47EBF" w:rsidRDefault="00B32716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6.4. Metodiniai užsiėmimai pagalbos mokiniui specialistams.</w:t>
            </w:r>
            <w:r w:rsidR="00DC2C23">
              <w:rPr>
                <w:sz w:val="22"/>
                <w:szCs w:val="22"/>
                <w:lang w:eastAsia="lt-LT"/>
              </w:rPr>
              <w:t xml:space="preserve">(Spec. pedagogams, </w:t>
            </w:r>
            <w:proofErr w:type="spellStart"/>
            <w:r w:rsidR="00DC2C23">
              <w:rPr>
                <w:sz w:val="22"/>
                <w:szCs w:val="22"/>
                <w:lang w:eastAsia="lt-LT"/>
              </w:rPr>
              <w:t>soc</w:t>
            </w:r>
            <w:proofErr w:type="spellEnd"/>
            <w:r w:rsidR="00DC2C23">
              <w:rPr>
                <w:sz w:val="22"/>
                <w:szCs w:val="22"/>
                <w:lang w:eastAsia="lt-LT"/>
              </w:rPr>
              <w:t>. pedagogams, mok.</w:t>
            </w:r>
            <w:r w:rsidR="00F659F9">
              <w:rPr>
                <w:sz w:val="22"/>
                <w:szCs w:val="22"/>
                <w:lang w:eastAsia="lt-LT"/>
              </w:rPr>
              <w:t xml:space="preserve"> </w:t>
            </w:r>
            <w:r w:rsidR="00DC2C23">
              <w:rPr>
                <w:sz w:val="22"/>
                <w:szCs w:val="22"/>
                <w:lang w:eastAsia="lt-LT"/>
              </w:rPr>
              <w:t>padėjėjams)</w:t>
            </w:r>
          </w:p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2693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lastRenderedPageBreak/>
              <w:t>Tėvų ar vaikų, mokytojų, VTAS prašymu, psichologui pasiūlius</w:t>
            </w:r>
          </w:p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</w:p>
          <w:p w:rsid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</w:p>
          <w:p w:rsidR="00972437" w:rsidRDefault="00972437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</w:p>
          <w:p w:rsidR="007F57F2" w:rsidRDefault="007F57F2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</w:p>
          <w:p w:rsidR="007F57F2" w:rsidRDefault="007F57F2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</w:p>
          <w:p w:rsidR="00972437" w:rsidRPr="00C47EBF" w:rsidRDefault="00972437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Pagal poreikį</w:t>
            </w:r>
          </w:p>
        </w:tc>
        <w:tc>
          <w:tcPr>
            <w:tcW w:w="1560" w:type="dxa"/>
          </w:tcPr>
          <w:p w:rsidR="00F659F9" w:rsidRDefault="00F659F9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</w:p>
          <w:p w:rsidR="00C47EBF" w:rsidRPr="00C47EBF" w:rsidRDefault="00972437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Rima Mokusienė</w:t>
            </w:r>
          </w:p>
        </w:tc>
        <w:tc>
          <w:tcPr>
            <w:tcW w:w="3260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Tėvai, mokytojai, auklėtojai gaus specifinių žinių vaiko raidos, ugdymo, auklėjimo bei bendravimo klausimais, taikys jas praktikoje, keisis jų nuostatos vaiko atžvilgiu, gerės bendravimas su vaiku, pozityviai keisis vaiko elgesys bei emocijos </w:t>
            </w:r>
          </w:p>
        </w:tc>
        <w:tc>
          <w:tcPr>
            <w:tcW w:w="2268" w:type="dxa"/>
          </w:tcPr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Registracijos knygos, ataskaitos, lankomumo žurnalas</w:t>
            </w:r>
          </w:p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D56B65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D56B65">
            <w:pPr>
              <w:suppressAutoHyphens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DC2C23" w:rsidRPr="00C47EBF" w:rsidTr="005F578F">
        <w:tc>
          <w:tcPr>
            <w:tcW w:w="5353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7. Metodinių priemonių ruošimas, pateikčių sklaida.</w:t>
            </w:r>
          </w:p>
        </w:tc>
        <w:tc>
          <w:tcPr>
            <w:tcW w:w="2693" w:type="dxa"/>
          </w:tcPr>
          <w:p w:rsidR="00DC2C23" w:rsidRPr="00972437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972437">
              <w:rPr>
                <w:sz w:val="22"/>
                <w:szCs w:val="22"/>
                <w:lang w:eastAsia="lt-LT"/>
              </w:rPr>
              <w:t>Nuolat</w:t>
            </w:r>
          </w:p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972437">
              <w:rPr>
                <w:sz w:val="22"/>
                <w:szCs w:val="22"/>
                <w:lang w:eastAsia="lt-LT"/>
              </w:rPr>
              <w:t>Pagal galimybes</w:t>
            </w:r>
          </w:p>
        </w:tc>
        <w:tc>
          <w:tcPr>
            <w:tcW w:w="1560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972437">
              <w:rPr>
                <w:sz w:val="22"/>
                <w:szCs w:val="22"/>
                <w:lang w:eastAsia="lt-LT"/>
              </w:rPr>
              <w:t>Rima Mokusienė</w:t>
            </w:r>
          </w:p>
        </w:tc>
        <w:tc>
          <w:tcPr>
            <w:tcW w:w="3260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Pasidalijimas patirtimi.</w:t>
            </w:r>
          </w:p>
        </w:tc>
        <w:tc>
          <w:tcPr>
            <w:tcW w:w="2268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Išleistos priemonės</w:t>
            </w:r>
          </w:p>
        </w:tc>
      </w:tr>
      <w:tr w:rsidR="00DC2C23" w:rsidRPr="00C47EBF" w:rsidTr="005F578F">
        <w:tc>
          <w:tcPr>
            <w:tcW w:w="5353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</w:t>
            </w:r>
            <w:r w:rsidRPr="00C47EBF">
              <w:rPr>
                <w:sz w:val="22"/>
                <w:szCs w:val="22"/>
                <w:lang w:eastAsia="lt-LT"/>
              </w:rPr>
              <w:t xml:space="preserve">. </w:t>
            </w:r>
            <w:r w:rsidRPr="00C47EBF">
              <w:rPr>
                <w:b/>
                <w:sz w:val="22"/>
                <w:szCs w:val="22"/>
                <w:lang w:eastAsia="lt-LT"/>
              </w:rPr>
              <w:t>Informacijos</w:t>
            </w:r>
            <w:r w:rsidRPr="00C47EBF">
              <w:rPr>
                <w:sz w:val="22"/>
                <w:szCs w:val="22"/>
                <w:lang w:eastAsia="lt-LT"/>
              </w:rPr>
              <w:t xml:space="preserve">, reikalingos  konsultuojamų mokinių problemoms spręsti, </w:t>
            </w:r>
            <w:r w:rsidRPr="00C47EBF">
              <w:rPr>
                <w:b/>
                <w:sz w:val="22"/>
                <w:szCs w:val="22"/>
                <w:lang w:eastAsia="lt-LT"/>
              </w:rPr>
              <w:t>kaupimas</w:t>
            </w:r>
            <w:r w:rsidRPr="00C47EBF">
              <w:rPr>
                <w:sz w:val="22"/>
                <w:szCs w:val="22"/>
                <w:lang w:eastAsia="lt-LT"/>
              </w:rPr>
              <w:t>. Bendradarbiavimas su mokyklos bendruomenėmis,  kitomis institucijomis.</w:t>
            </w:r>
          </w:p>
        </w:tc>
        <w:tc>
          <w:tcPr>
            <w:tcW w:w="2693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Nuolat, pagal poreikį</w:t>
            </w:r>
          </w:p>
        </w:tc>
        <w:tc>
          <w:tcPr>
            <w:tcW w:w="1560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972437">
              <w:rPr>
                <w:sz w:val="22"/>
                <w:szCs w:val="22"/>
                <w:lang w:eastAsia="lt-LT"/>
              </w:rPr>
              <w:t>Rima Mokusienė</w:t>
            </w:r>
          </w:p>
        </w:tc>
        <w:tc>
          <w:tcPr>
            <w:tcW w:w="3260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Sėkmingai išspręstos mokinių problemos</w:t>
            </w:r>
          </w:p>
        </w:tc>
        <w:tc>
          <w:tcPr>
            <w:tcW w:w="2268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Registracijos knygos, ataskaitos</w:t>
            </w:r>
          </w:p>
        </w:tc>
      </w:tr>
      <w:tr w:rsidR="00DC2C23" w:rsidRPr="00C47EBF" w:rsidTr="005F578F">
        <w:tc>
          <w:tcPr>
            <w:tcW w:w="5353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</w:t>
            </w:r>
            <w:r w:rsidRPr="00C47EBF">
              <w:rPr>
                <w:sz w:val="22"/>
                <w:szCs w:val="22"/>
                <w:lang w:eastAsia="lt-LT"/>
              </w:rPr>
              <w:t>. Darbo dokumentų tvarkymas ir pildymas</w:t>
            </w:r>
          </w:p>
        </w:tc>
        <w:tc>
          <w:tcPr>
            <w:tcW w:w="2693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Nuolat</w:t>
            </w:r>
          </w:p>
        </w:tc>
        <w:tc>
          <w:tcPr>
            <w:tcW w:w="1560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972437">
              <w:rPr>
                <w:sz w:val="22"/>
                <w:szCs w:val="22"/>
                <w:lang w:eastAsia="lt-LT"/>
              </w:rPr>
              <w:t>Rima Mokusienė</w:t>
            </w:r>
          </w:p>
        </w:tc>
        <w:tc>
          <w:tcPr>
            <w:tcW w:w="3260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Tvarkingi darbo dokumentai bei klientų apskaita</w:t>
            </w:r>
          </w:p>
        </w:tc>
        <w:tc>
          <w:tcPr>
            <w:tcW w:w="2268" w:type="dxa"/>
          </w:tcPr>
          <w:p w:rsidR="00DC2C23" w:rsidRPr="00C47EBF" w:rsidRDefault="00DC2C23" w:rsidP="00DC2C23">
            <w:pPr>
              <w:suppressAutoHyphens w:val="0"/>
              <w:jc w:val="both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Registracijos knygos, klientų kortelės, ataskaitos</w:t>
            </w:r>
          </w:p>
        </w:tc>
      </w:tr>
    </w:tbl>
    <w:p w:rsidR="00C47EBF" w:rsidRPr="00C47EBF" w:rsidRDefault="00C47EBF" w:rsidP="00D56B65">
      <w:pPr>
        <w:suppressAutoHyphens w:val="0"/>
        <w:jc w:val="both"/>
        <w:rPr>
          <w:lang w:eastAsia="lt-LT"/>
        </w:rPr>
      </w:pPr>
    </w:p>
    <w:p w:rsidR="00C47EBF" w:rsidRPr="00C47EBF" w:rsidRDefault="00C47EBF" w:rsidP="00D56B65">
      <w:pPr>
        <w:suppressAutoHyphens w:val="0"/>
        <w:jc w:val="both"/>
        <w:rPr>
          <w:lang w:eastAsia="lt-LT"/>
        </w:rPr>
      </w:pPr>
      <w:r>
        <w:rPr>
          <w:lang w:eastAsia="lt-LT"/>
        </w:rPr>
        <w:t xml:space="preserve"> </w:t>
      </w:r>
      <w:r w:rsidR="0000550C">
        <w:rPr>
          <w:lang w:eastAsia="lt-LT"/>
        </w:rPr>
        <w:t xml:space="preserve">                               </w:t>
      </w:r>
      <w:r w:rsidR="00972437">
        <w:rPr>
          <w:lang w:eastAsia="lt-LT"/>
        </w:rPr>
        <w:t xml:space="preserve">  Psichologė </w:t>
      </w:r>
      <w:r w:rsidR="0000550C">
        <w:rPr>
          <w:lang w:eastAsia="lt-LT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00550C">
        <w:rPr>
          <w:lang w:eastAsia="lt-LT"/>
        </w:rPr>
        <w:t xml:space="preserve">     </w:t>
      </w:r>
      <w:proofErr w:type="spellStart"/>
      <w:r w:rsidR="00972437">
        <w:rPr>
          <w:lang w:eastAsia="lt-LT"/>
        </w:rPr>
        <w:t>R.Mokusienė</w:t>
      </w:r>
      <w:proofErr w:type="spellEnd"/>
      <w:r w:rsidRPr="00C47EBF">
        <w:rPr>
          <w:lang w:eastAsia="lt-LT"/>
        </w:rPr>
        <w:t xml:space="preserve">                                             </w:t>
      </w:r>
    </w:p>
    <w:p w:rsidR="00C47EBF" w:rsidRDefault="00C47EBF" w:rsidP="00D56B65">
      <w:pPr>
        <w:jc w:val="both"/>
      </w:pPr>
    </w:p>
    <w:sectPr w:rsidR="00C47EBF" w:rsidSect="00C47EB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61CE"/>
    <w:multiLevelType w:val="hybridMultilevel"/>
    <w:tmpl w:val="EA4C2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90"/>
    <w:rsid w:val="00000499"/>
    <w:rsid w:val="0000550C"/>
    <w:rsid w:val="000222A6"/>
    <w:rsid w:val="0008779F"/>
    <w:rsid w:val="001150E0"/>
    <w:rsid w:val="004C2DFE"/>
    <w:rsid w:val="00724CB6"/>
    <w:rsid w:val="007F57F2"/>
    <w:rsid w:val="008A2590"/>
    <w:rsid w:val="00960C40"/>
    <w:rsid w:val="00972437"/>
    <w:rsid w:val="00B32716"/>
    <w:rsid w:val="00BD4A2F"/>
    <w:rsid w:val="00C47EBF"/>
    <w:rsid w:val="00D06177"/>
    <w:rsid w:val="00D56B65"/>
    <w:rsid w:val="00DB4F2E"/>
    <w:rsid w:val="00DC2C23"/>
    <w:rsid w:val="00DF2684"/>
    <w:rsid w:val="00F659F9"/>
    <w:rsid w:val="00F8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FF32"/>
  <w15:docId w15:val="{9493FA7C-1AD8-4607-9843-F5865B55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59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link w:val="PavadinimasDiagrama"/>
    <w:qFormat/>
    <w:rsid w:val="008A259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8A2590"/>
    <w:rPr>
      <w:rFonts w:eastAsia="Times New Roman" w:cs="Times New Roman"/>
      <w:b/>
      <w:bCs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A2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A259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C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C40"/>
    <w:rPr>
      <w:rFonts w:ascii="Segoe UI" w:eastAsia="Times New Roman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00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</dc:creator>
  <cp:lastModifiedBy>Windows User</cp:lastModifiedBy>
  <cp:revision>2</cp:revision>
  <cp:lastPrinted>2019-04-04T08:20:00Z</cp:lastPrinted>
  <dcterms:created xsi:type="dcterms:W3CDTF">2024-04-22T10:07:00Z</dcterms:created>
  <dcterms:modified xsi:type="dcterms:W3CDTF">2024-04-22T10:07:00Z</dcterms:modified>
</cp:coreProperties>
</file>