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B0" w:rsidRDefault="001B7B09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Akmenės rajono savivaldybės pedagoginė psichologinė tarnyba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1676400" cy="1950898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215868"/>
          <w:sz w:val="44"/>
          <w:szCs w:val="44"/>
        </w:rPr>
      </w:pPr>
      <w:r>
        <w:rPr>
          <w:rFonts w:ascii="TimesNewRomanPSMT" w:hAnsi="TimesNewRomanPSMT" w:cs="TimesNewRomanPSMT"/>
          <w:color w:val="215868"/>
          <w:sz w:val="44"/>
          <w:szCs w:val="44"/>
        </w:rPr>
        <w:t>PENKTOKŲ ADAPTACIJA MOKYKLOJE</w:t>
      </w:r>
    </w:p>
    <w:p w:rsidR="00320FB0" w:rsidRDefault="001B7B09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PPT </w:t>
      </w:r>
      <w:r w:rsidR="002932FF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</w:t>
      </w:r>
      <w:r w:rsidR="00320FB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psichologė Jurgina Simonavičienė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Wingdings-Regular" w:eastAsia="Wingdings-Regular" w:hAnsi="TimesNewRomanPSMT" w:cs="Wingdings-Regular"/>
          <w:color w:val="31859C"/>
          <w:sz w:val="32"/>
          <w:szCs w:val="32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215868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5868"/>
          <w:sz w:val="32"/>
          <w:szCs w:val="32"/>
        </w:rPr>
        <w:t>Ištieskime visi rankas vaikams, padėkime penktokams staigiame gyvenimo posūkyje!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215868"/>
          <w:sz w:val="32"/>
          <w:szCs w:val="32"/>
        </w:rPr>
      </w:pPr>
    </w:p>
    <w:p w:rsidR="00320FB0" w:rsidRP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36"/>
          <w:szCs w:val="36"/>
          <w:u w:val="single"/>
        </w:rPr>
      </w:pPr>
      <w:r w:rsidRPr="00320FB0">
        <w:rPr>
          <w:rFonts w:ascii="TimesNewRomanPS-BoldMT" w:hAnsi="TimesNewRomanPS-BoldMT" w:cs="TimesNewRomanPS-BoldMT"/>
          <w:b/>
          <w:bCs/>
          <w:color w:val="00000A"/>
          <w:sz w:val="36"/>
          <w:szCs w:val="36"/>
          <w:u w:val="single"/>
        </w:rPr>
        <w:t>Jūsų vaikas jau penktokas!</w:t>
      </w:r>
    </w:p>
    <w:p w:rsidR="00320FB0" w:rsidRP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20FB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Perėjimas iš pradinės mokyklos grandies į </w:t>
      </w:r>
      <w:proofErr w:type="spellStart"/>
      <w:r w:rsidRPr="00320FB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viduriniąją</w:t>
      </w:r>
      <w:proofErr w:type="spellEnd"/>
      <w:r w:rsidRPr="00320FB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sutampa su perėjimu į paauglystės laikotarpį.</w:t>
      </w:r>
    </w:p>
    <w:p w:rsidR="00320FB0" w:rsidRP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lang w:val="en-US"/>
        </w:rPr>
        <w:drawing>
          <wp:inline distT="0" distB="0" distL="0" distR="0">
            <wp:extent cx="2295525" cy="1442145"/>
            <wp:effectExtent l="0" t="0" r="0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Tad, tėveliai, nenustebkite, jog veržlų, energingą, rodos, itin lengvą žinių įgijimą keis netikėtas </w:t>
      </w:r>
      <w:proofErr w:type="spellStart"/>
      <w:r>
        <w:rPr>
          <w:rFonts w:ascii="TimesNewRomanPSMT" w:hAnsi="TimesNewRomanPSMT" w:cs="TimesNewRomanPSMT"/>
          <w:color w:val="000000"/>
        </w:rPr>
        <w:t>sulėtėjimas,beveik</w:t>
      </w:r>
      <w:proofErr w:type="spellEnd"/>
      <w:r>
        <w:rPr>
          <w:rFonts w:ascii="TimesNewRomanPSMT" w:hAnsi="TimesNewRomanPSMT" w:cs="TimesNewRomanPSMT"/>
          <w:color w:val="000000"/>
        </w:rPr>
        <w:t xml:space="preserve"> sustojimas, o gerą vaiko elgesį, jo gerą nuotaiką staiga temdys susierzinimas, </w:t>
      </w:r>
      <w:proofErr w:type="spellStart"/>
      <w:r>
        <w:rPr>
          <w:rFonts w:ascii="TimesNewRomanPSMT" w:hAnsi="TimesNewRomanPSMT" w:cs="TimesNewRomanPSMT"/>
          <w:color w:val="000000"/>
        </w:rPr>
        <w:t>užsisipyrimas</w:t>
      </w:r>
      <w:proofErr w:type="spellEnd"/>
      <w:r>
        <w:rPr>
          <w:rFonts w:ascii="TimesNewRomanPSMT" w:hAnsi="TimesNewRomanPSMT" w:cs="TimesNewRomanPSMT"/>
          <w:color w:val="000000"/>
        </w:rPr>
        <w:t>, kartais galbūt agresija.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Kiekvienas vaikas yra individualus, nepakartojamas, bet jų problemos panašios, nes tai susiję su jų amžiaus laikotarpiais. </w:t>
      </w:r>
      <w:r>
        <w:rPr>
          <w:rFonts w:ascii="TimesNewRomanPS-BoldMT" w:hAnsi="TimesNewRomanPS-BoldMT" w:cs="TimesNewRomanPS-BoldMT"/>
          <w:b/>
          <w:bCs/>
          <w:color w:val="000000"/>
        </w:rPr>
        <w:t>Noras mokytis, kaip ir viskas šiuo laikotarpiu, tampa labai prieštaringas.</w:t>
      </w:r>
    </w:p>
    <w:p w:rsidR="00320FB0" w:rsidRPr="00320FB0" w:rsidRDefault="00320FB0" w:rsidP="00BD5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  <w:u w:val="single"/>
        </w:rPr>
      </w:pPr>
      <w:r w:rsidRPr="00320FB0">
        <w:rPr>
          <w:rFonts w:ascii="TimesNewRomanPS-BoldMT" w:hAnsi="TimesNewRomanPS-BoldMT" w:cs="TimesNewRomanPS-BoldMT"/>
          <w:b/>
          <w:bCs/>
          <w:color w:val="00000A"/>
          <w:sz w:val="28"/>
          <w:szCs w:val="28"/>
          <w:u w:val="single"/>
        </w:rPr>
        <w:t>Specifinės paauglio penktoko problemos:</w:t>
      </w:r>
    </w:p>
    <w:p w:rsidR="00320FB0" w:rsidRP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  <w:u w:val="single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IV kl. baigimas - “Pirmas laiptelis nugalėtas”. Penktoko laukia daug naujovių. Vos pradėjęs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mokytis penktoje klasėje, jis susiduria su daugybe nežinomų dalykų.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Visų pirma vietoje mylimos mokytojos, kuri puikiai pažinojo kiekvieną vaiką, dabar yra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nauja auklėtoja.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Kiekvieno dalyko ateina mokyti vis kitas mokytojas, turintis vis kitokį charakterį, įpročius,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vertybes, mokymo bei vertinimo sistemą, kurią penktokas turi perprasti.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Nauji klasės draugai.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Nauja mokykla, kuri kelis kartus didesnė nei buvusi pradinė. Iš pirmo žvilgsnio ši mokykla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atrodo paini, klaidi ir svetima. Joje mokosi vyresni mokiniai.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A"/>
          <w:sz w:val="24"/>
          <w:szCs w:val="24"/>
          <w:lang w:val="en-US"/>
        </w:rPr>
        <w:drawing>
          <wp:inline distT="0" distB="0" distL="0" distR="0">
            <wp:extent cx="1552575" cy="1539362"/>
            <wp:effectExtent l="0" t="0" r="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215868"/>
          <w:sz w:val="28"/>
          <w:szCs w:val="28"/>
        </w:rPr>
      </w:pPr>
      <w:r w:rsidRPr="00320FB0">
        <w:rPr>
          <w:rFonts w:ascii="TimesNewRomanPS-BoldMT" w:hAnsi="TimesNewRomanPS-BoldMT" w:cs="TimesNewRomanPS-BoldMT"/>
          <w:b/>
          <w:bCs/>
          <w:color w:val="215868"/>
          <w:sz w:val="28"/>
          <w:szCs w:val="28"/>
        </w:rPr>
        <w:t>Visa tai mokinį gali priversti pasijusti nebe taip saugiai, kaip ketvirtoje klasėje. Todėl tėvai turėtų savo penktokui padėti!</w:t>
      </w:r>
    </w:p>
    <w:p w:rsidR="00320FB0" w:rsidRP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215868"/>
          <w:sz w:val="28"/>
          <w:szCs w:val="28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320FB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Mokyklinė </w:t>
      </w:r>
      <w:proofErr w:type="spellStart"/>
      <w:r w:rsidRPr="00320FB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dezadaptacija</w:t>
      </w:r>
      <w:proofErr w:type="spellEnd"/>
      <w:r w:rsidRPr="00320FB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. Kas tai?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323975" cy="1047750"/>
            <wp:effectExtent l="0" t="0" r="952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B0" w:rsidRP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Psichologinė vaiko adaptacija V kl. trunka 5-6 savaites. Tačiau ji gali užsitęsti ir ilgiau. Nuomonė apie per didelį krūvį, kaip apie svarbiausią mokyklinės </w:t>
      </w:r>
      <w:proofErr w:type="spellStart"/>
      <w:r>
        <w:rPr>
          <w:rFonts w:ascii="TimesNewRomanPSMT" w:hAnsi="TimesNewRomanPSMT" w:cs="TimesNewRomanPSMT"/>
          <w:color w:val="000000"/>
        </w:rPr>
        <w:t>dezadaptacijos</w:t>
      </w:r>
      <w:proofErr w:type="spellEnd"/>
      <w:r>
        <w:rPr>
          <w:rFonts w:ascii="TimesNewRomanPSMT" w:hAnsi="TimesNewRomanPSMT" w:cs="TimesNewRomanPSMT"/>
          <w:color w:val="000000"/>
        </w:rPr>
        <w:t xml:space="preserve"> priežastį, šiek tiek perdėta. </w:t>
      </w:r>
      <w:r>
        <w:rPr>
          <w:rFonts w:ascii="TimesNewRomanPS-BoldMT" w:hAnsi="TimesNewRomanPS-BoldMT" w:cs="TimesNewRomanPS-BoldMT"/>
          <w:b/>
          <w:bCs/>
          <w:color w:val="000000"/>
        </w:rPr>
        <w:t>Penktokai geba daug ir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atkakliai dirbti, jei darbas jiems įdomus. Būtina, kad mokymasis keltų</w:t>
      </w:r>
      <w:r w:rsidR="007E6EF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teigiamas</w:t>
      </w:r>
      <w:r w:rsidR="007E6EF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emocijas. </w:t>
      </w:r>
      <w:r>
        <w:rPr>
          <w:rFonts w:ascii="TimesNewRomanPSMT" w:hAnsi="TimesNewRomanPSMT" w:cs="TimesNewRomanPSMT"/>
          <w:color w:val="000000"/>
        </w:rPr>
        <w:t xml:space="preserve">Penktokai noriai imasi daugelio darbų, bet ištikus nesėkmei viską meta be sąžinės graužaties. </w:t>
      </w:r>
      <w:r>
        <w:rPr>
          <w:rFonts w:ascii="TimesNewRomanPS-BoldMT" w:hAnsi="TimesNewRomanPS-BoldMT" w:cs="TimesNewRomanPS-BoldMT"/>
          <w:b/>
          <w:bCs/>
          <w:color w:val="000000"/>
        </w:rPr>
        <w:t>Svarbu padėti savo vaikui sudaryti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reguliaraus mokymosi dienotvarkę, mokyti suprasti kylančius jausmus, padėti save kontroliuoti. </w:t>
      </w:r>
      <w:r>
        <w:rPr>
          <w:rFonts w:ascii="TimesNewRomanPSMT" w:hAnsi="TimesNewRomanPSMT" w:cs="TimesNewRomanPSMT"/>
          <w:color w:val="000000"/>
        </w:rPr>
        <w:t xml:space="preserve">Didesnis mokymosi krūvis ir atsakomybė gali sukelti vaikui mokymosi baimę. Jis bijo nesuspėti, pavėluoti, padaryti kažką ne taip, būti neigiamai įvertintas ar nubaustas. Itin paplitę atvejai, kuomet mokyklinė </w:t>
      </w:r>
      <w:proofErr w:type="spellStart"/>
      <w:r>
        <w:rPr>
          <w:rFonts w:ascii="TimesNewRomanPSMT" w:hAnsi="TimesNewRomanPSMT" w:cs="TimesNewRomanPSMT"/>
          <w:color w:val="000000"/>
        </w:rPr>
        <w:t>dezadaptacija</w:t>
      </w:r>
      <w:proofErr w:type="spellEnd"/>
      <w:r>
        <w:rPr>
          <w:rFonts w:ascii="TimesNewRomanPSMT" w:hAnsi="TimesNewRomanPSMT" w:cs="TimesNewRomanPSMT"/>
          <w:color w:val="000000"/>
        </w:rPr>
        <w:t xml:space="preserve"> nulemta šeimoje dar ankstyvoje vaikystėje: vaikui suformuojamas pernelyg aukštas arba pernelyg žemas savę</w:t>
      </w:r>
      <w:r w:rsidR="007E6EFD">
        <w:rPr>
          <w:rFonts w:ascii="TimesNewRomanPSMT" w:hAnsi="TimesNewRomanPSMT" w:cs="TimesNewRomanPSMT"/>
          <w:color w:val="000000"/>
        </w:rPr>
        <w:t xml:space="preserve">s vertinimas. </w:t>
      </w:r>
      <w:r>
        <w:rPr>
          <w:rFonts w:ascii="TimesNewRomanPSMT" w:hAnsi="TimesNewRomanPSMT" w:cs="TimesNewRomanPSMT"/>
          <w:color w:val="000000"/>
        </w:rPr>
        <w:t>Kartais sutrinka jų miegas bei apetitas.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Vienokius ar kitokius pokyčius patiria 70-80 proc. mokinių ir tai yra normali adaptacijos dalis.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Daugumai tokie sutrikimai išnyksta po 2-3 savaičių</w:t>
      </w:r>
      <w:r w:rsidR="007E6EFD">
        <w:rPr>
          <w:rFonts w:ascii="TimesNewRomanPS-BoldMT" w:hAnsi="TimesNewRomanPS-BoldMT" w:cs="TimesNewRomanPS-BoldMT"/>
          <w:b/>
          <w:bCs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>Bet yra mokinių, kuriems adaptacijos periodas tęsiasi 2-3 mėnesius.</w:t>
      </w:r>
    </w:p>
    <w:p w:rsidR="007E6EFD" w:rsidRPr="007E6EFD" w:rsidRDefault="007E6EFD" w:rsidP="00BD5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7E6EFD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Tėvų pagalba labai svarbi!</w:t>
      </w:r>
    </w:p>
    <w:p w:rsidR="007E6EFD" w:rsidRPr="007E6EFD" w:rsidRDefault="007E6EFD" w:rsidP="00BD57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Adaptacijos metu svarbu išlaikyti ramią, saugią vaiko aplinką bei tikslią dienotvarkę, </w:t>
      </w:r>
      <w:proofErr w:type="spellStart"/>
      <w:r>
        <w:rPr>
          <w:rFonts w:ascii="TimesNewRomanPSMT" w:hAnsi="TimesNewRomanPSMT" w:cs="TimesNewRomanPSMT"/>
          <w:color w:val="000000"/>
        </w:rPr>
        <w:t>t.y</w:t>
      </w:r>
      <w:proofErr w:type="spellEnd"/>
      <w:r>
        <w:rPr>
          <w:rFonts w:ascii="TimesNewRomanPSMT" w:hAnsi="TimesNewRomanPSMT" w:cs="TimesNewRomanPSMT"/>
          <w:color w:val="000000"/>
        </w:rPr>
        <w:t>. elgtis taip, kad jis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nuolat jaustų tėvų rūpinimąsi ir paramą.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Prasminga kaskart tėvams pasiteirauti, kaip vaikui sekėsi mokykloje, ką naujo sužinojo, kas buvo lengva, o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kas sunku, su kuo daugiausiai bendrauja, kas patinka ir kas ne mokykloje, ko jam norėtųsi.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Būtina pastebėti vaiko pasiekimus, pagirti už nuopelnus ir darbą.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Stebėkite savo atžalas, jų elgesį, emocijas. Pastebėję, jog jis elgiasi neįprastai (ramus tampa dirglus, </w:t>
      </w:r>
      <w:proofErr w:type="spellStart"/>
      <w:r>
        <w:rPr>
          <w:rFonts w:ascii="TimesNewRomanPSMT" w:hAnsi="TimesNewRomanPSMT" w:cs="TimesNewRomanPSMT"/>
          <w:color w:val="000000"/>
        </w:rPr>
        <w:t>aktyvuspasyvus</w:t>
      </w:r>
      <w:proofErr w:type="spellEnd"/>
      <w:r>
        <w:rPr>
          <w:rFonts w:ascii="TimesNewRomanPSMT" w:hAnsi="TimesNewRomanPSMT" w:cs="TimesNewRomanPSMT"/>
          <w:color w:val="000000"/>
        </w:rPr>
        <w:t>),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raskite laiko paklausti, kas atsitiko.</w:t>
      </w:r>
    </w:p>
    <w:p w:rsidR="00320FB0" w:rsidRPr="007E6EFD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Vaikas turi suprasti, kad jam atsivėrus ir išsipasakojus, Jūs jo nebausite, nepamokslausite, nebarsite, o padėsite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surasti išeitį iš “beviltiškos” situacijos. </w:t>
      </w:r>
      <w:r>
        <w:rPr>
          <w:rFonts w:ascii="TimesNewRomanPS-ItalicMT" w:hAnsi="TimesNewRomanPS-ItalicMT" w:cs="TimesNewRomanPS-ItalicMT"/>
          <w:i/>
          <w:iCs/>
          <w:color w:val="000000"/>
        </w:rPr>
        <w:t>Turime paauglius išmokyti į iškilusias problemas žiūrėti kaip į natūralų, dar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vieną jo asmenybės augimo laiptelį.</w:t>
      </w:r>
    </w:p>
    <w:p w:rsidR="00320FB0" w:rsidRPr="007E6EFD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Svarbu su vaiku aptarti, kas jam trukdė sėkmingai dirbti, kaip kitąsyk būtų galima to išvengti, paaiškinti, kad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normalu klysti ir svarbu iš klaidų mokytis.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Vaikams labai svarbus papildomas ugdymas. Skatinkite dalyvauti </w:t>
      </w:r>
      <w:proofErr w:type="spellStart"/>
      <w:r>
        <w:rPr>
          <w:rFonts w:ascii="TimesNewRomanPSMT" w:hAnsi="TimesNewRomanPSMT" w:cs="TimesNewRomanPSMT"/>
          <w:color w:val="000000"/>
        </w:rPr>
        <w:t>įv</w:t>
      </w:r>
      <w:proofErr w:type="spellEnd"/>
      <w:r>
        <w:rPr>
          <w:rFonts w:ascii="TimesNewRomanPSMT" w:hAnsi="TimesNewRomanPSMT" w:cs="TimesNewRomanPSMT"/>
          <w:color w:val="000000"/>
        </w:rPr>
        <w:t>. būreliuose, mokyklos gyvenime po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pamokų. Teauga jie linksmi, kūrybingi ir laimingi.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firstLine="709"/>
        <w:rPr>
          <w:rFonts w:ascii="Wingdings-Regular" w:eastAsia="Wingdings-Regular" w:hAnsi="TimesNewRomanPSMT" w:cs="Wingdings-Regular"/>
          <w:color w:val="31859C"/>
          <w:sz w:val="32"/>
          <w:szCs w:val="32"/>
        </w:rPr>
      </w:pPr>
      <w:r>
        <w:rPr>
          <w:rFonts w:ascii="TimesNewRomanPSMT" w:hAnsi="TimesNewRomanPSMT" w:cs="TimesNewRomanPSMT"/>
          <w:color w:val="000000"/>
        </w:rPr>
        <w:t>Tėvai turėtų parodyti savo pavyzdžiu, kaip reikia bendrauti su bendraamžiais (kitais tėvais) ir autoritetais</w:t>
      </w:r>
      <w:r w:rsidR="007E6EF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(mokytojais). Svarbus tėvų lankymasis susirinkimuose, tuomet galima įžvelgti bręstanč</w:t>
      </w:r>
      <w:r w:rsidR="007E6EFD">
        <w:rPr>
          <w:rFonts w:ascii="TimesNewRomanPSMT" w:hAnsi="TimesNewRomanPSMT" w:cs="TimesNewRomanPSMT"/>
          <w:color w:val="000000"/>
        </w:rPr>
        <w:t xml:space="preserve">ias problemas, geriau </w:t>
      </w:r>
      <w:r>
        <w:rPr>
          <w:rFonts w:ascii="TimesNewRomanPSMT" w:hAnsi="TimesNewRomanPSMT" w:cs="TimesNewRomanPSMT"/>
          <w:color w:val="000000"/>
        </w:rPr>
        <w:t>pažinti savo vaiką, jo amžiui būdingus poreikius.</w:t>
      </w:r>
      <w:bookmarkStart w:id="0" w:name="_GoBack"/>
      <w:bookmarkEnd w:id="0"/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left="5184" w:firstLine="1296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Naudota literatūra: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left="2592" w:firstLine="1296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1.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Cowley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, S. “Kaip suvaldyti tuos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nelaužadas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? “, 2008 m.</w:t>
      </w:r>
    </w:p>
    <w:p w:rsidR="00320FB0" w:rsidRDefault="00320FB0" w:rsidP="00BD5758">
      <w:pPr>
        <w:autoSpaceDE w:val="0"/>
        <w:autoSpaceDN w:val="0"/>
        <w:adjustRightInd w:val="0"/>
        <w:spacing w:after="0" w:line="360" w:lineRule="auto"/>
        <w:ind w:left="2592" w:firstLine="1296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2.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Kulikovskich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O. “Dėmesio! Penktokas!”,1998m.</w:t>
      </w:r>
    </w:p>
    <w:p w:rsidR="007B7F6E" w:rsidRDefault="00320FB0" w:rsidP="00BD5758">
      <w:pPr>
        <w:spacing w:line="360" w:lineRule="auto"/>
        <w:ind w:left="2592" w:firstLine="1296"/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3. “Penktokas”, 2006 m.</w:t>
      </w:r>
    </w:p>
    <w:sectPr w:rsidR="007B7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B0"/>
    <w:rsid w:val="001B7B09"/>
    <w:rsid w:val="002932FF"/>
    <w:rsid w:val="00320FB0"/>
    <w:rsid w:val="007B7F6E"/>
    <w:rsid w:val="007E6EFD"/>
    <w:rsid w:val="00AE0CD4"/>
    <w:rsid w:val="00B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03A8-CB9D-45A0-A36F-F72F723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AC26-E915-4B36-95F7-2A4ED835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3</cp:revision>
  <cp:lastPrinted>2021-10-22T06:24:00Z</cp:lastPrinted>
  <dcterms:created xsi:type="dcterms:W3CDTF">2021-12-14T12:30:00Z</dcterms:created>
  <dcterms:modified xsi:type="dcterms:W3CDTF">2021-12-14T12:33:00Z</dcterms:modified>
</cp:coreProperties>
</file>